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04 22 vom 22. April 2004</w:t>
      </w:r>
    </w:p>
    <w:p>
      <w:r>
        <w:t>VS Kantonsgericht, 2004-04-22, FR</w:t>
      </w:r>
    </w:p>
    <w:p>
      <w:r>
        <w:rPr>
          <w:b/>
        </w:rPr>
        <w:t xml:space="preserve">Quelle: </w:t>
      </w:r>
      <w:r>
        <w:t>https://mcp.opencaselaw.ch/entscheid/vs_gerichte_A1 04 22</w:t>
      </w:r>
    </w:p>
    <w:p>
      <w:r>
        <w:t>FR: VS_GERICHTE A1 04 22 du 22 avril 2004</w:t>
      </w:r>
    </w:p>
    <w:p>
      <w:r>
        <w:t>IT: VS_GERICHTE A1 04 22 del 22 aprile 2004</w:t>
      </w:r>
    </w:p>
    <w:p>
      <w:pPr>
        <w:pStyle w:val="Heading2"/>
      </w:pPr>
      <w:r>
        <w:t>Regeste</w:t>
      </w:r>
    </w:p>
    <w:p>
      <w:r>
        <w:t>Santé publique Gesundheitswesen ACDP du 22 avril 2004, X. c. Conseil d’Etat Récusation du membre d’un organe de préavis Lorsque la loi oblige une autorité à requérir un préavis d’une organisation avant d’octroyer une autorisation à un tiers, les personnes chargées de formuler ce pré- avis ont elles-mêmes un statut d’autorité. Elles sont tenues de respecter les règles de récusation de l’art. 10 LPJA. Il en va de même si l’on assimile ces personnes à des experts consultés par l’administration. Ablehnung des Mitglieds einer Konsultationsbehörde Ist eine Behörde vor der Bewilligungserteilung an einen Dritten gesetzlich ver- pflichtet, die Vormeinung einer Organisation einzuholen, verfügen die den Bericht verfassenden Mitglieder selbst über Behördenstatus. Sie sind ver- pflichtet, die Ausstandsregeln von Art. 10 VVRG zu wahren. Entsprechendes gilt, wenn diese Personen mit von der Verwaltung konsultierten Experten gleichgestellt werden. Faits A. L’article 2 alinéa 1 de la loi du 27 mars 1996 sur l’organisation des secours (LOS) dit que par secours au sens de cette loi, il faut entendre l’alerte, la recherche, l’engagement, le sauvetage, l’assis- tance, le transport, l’acheminement adéquat et le transfert de toutes les personnes accidentées, malades ou en danger, quel que soit le</w:t>
      </w:r>
    </w:p>
    <w:p>
      <w:pPr>
        <w:pStyle w:val="Heading2"/>
      </w:pPr>
      <w:r>
        <w:t>Erwägungen</w:t>
      </w:r>
    </w:p>
    <w:p>
      <w:r>
        <w:rPr>
          <w:b/>
        </w:rPr>
        <w:t>E. 2</w:t>
      </w:r>
    </w:p>
    <w:p>
      <w:r>
        <w:t>a) Le recourant persiste à soutenir que l’article 10 LPJA (récu- sation) a été transgressé, parce que le préavis négatif de l’OCVS du 7 février 2003 a été émis par le conseil d’administration de cette asso- ciation, dont plusieurs membres ﬁgurent parmi ses concurrents directs. b) Le Conseil d’Etat a estimé que ce grief de récusation n’était pas fondé. En effet, la LOS ne confère pas au préavis de l’OCVS un carac- tère contraignant, mais permet au DSSE de s’y référer pour mieux sta- tuer dans un domaine régi par des notions juridiques indéterminées nécessitant néanmoins l’avis d’une organisation disposant de connais- sances particulières en la matière. Cet avis n’empêche cependant pas le DSSE de faire usage du large pouvoir d’appréciation qui est le sien. Il ne saurait, partant, être question de faire de l’OCVS une autorité administrative, ni du préavis de l’OCVS une pré-décision. c) Le message de la LOS mentionne que le projet de loi vise à maintenir dans toute la mesure du possible l’initiative privée en la reconnaissant mieux, en la soutenant et en limitant les inconvénients qui lui sont liés (BSGC, session de mai 1992, p. 16). Par conséquent, sur proposition de la commission parlementaire, l’exploitation d’une entreprise de secours était soumise à l’octroi d’une autorisation. Au cours des premiers débats, il a été rappelé qu’autoriser la cohabita- tion des secours ofﬁciels et des secours privés entraînerait des difﬁ- cultés accrues, voire des conﬂits (BSGC, session de mai 1992, inter- vention Luyet, p. 56). Le système ﬂexible de la double nature des secours a toutefois été maintenu aﬁn d’éviter une étatisation du ser- 94</w:t>
      </w:r>
    </w:p>
    <w:p>
      <w:r>
        <w:t>vice des ambulances (BSGC, session de mai 1992, intervention Barben, p. 62). Lors des seconds débats, la commission cantonale de secours a été remplacée par une organisation cantonale faîtière sous la forme d’une association de droit privé, mais visant des buts d’intérêt public, dont les statuts devaient être soumis à l’approbation du Conseil d’E- tat. Cette association devait se voir conﬁer toutes ou une partie des tâches en matière de secours sous la forme d’un mandat de presta- tions (BSGC, mars 1996, p. 253). Lors des discussions sur l’article 9 LOS, une proposition visait à remplacer les termes «sur préavis de l’or- ganisation cantonale faîtière» par les mots «l’organisation faîtière entendue». Cette proposition n’a pas été retenue «aﬁn de ne pas dimi- nuer le rôle de l’organisation faîtière qui sera par la suite responsable de la coordination des activités des entreprises autorisées. Le Conseil d’Etat, par son département de la santé, ne conservera qu’une respon- sabilité subsidiaire» (BSGC, mars 1996, p. 678). Selon l’article 19 des statuts de l’OCVS approuvés par le Conseil d’Etat le 11 octobre 2000 et votés par l’assemblée générale le 18 octo- bre 2000, le conseil d’administration est composé de six membres plus un président. Trois membres sont nommés par le Conseil d’Etat, trois membres et le président par l’assemblée générale. La nomination du président est ratiﬁée par le Conseil d’Etat. Le conseil d’administration émet le préavis prévu aux article 9 LOS et 9 OOS en vue de la décision du DSSE. d) La systématique de la LOS oblige ainsi le DSSE à solliciter l’avis de l’OCVS, laquelle doit lui communiquer son point de vue technique quant à l’inﬂuence que peut avoir l’octroi d’une autorisation sur le plan de l’organigramme des secours. En émettant le préavis dont elle est requise, l’OCVS agit bien en tant qu’organe privé, mais chargé de l’accomplissement de tâches relevant du droit public au sens de l’ar- ticle 3 alinéa 2 LPJA. Contrairement à ce qu’a jugé le Conseil d’Etat, cette organisation doit donc être assimilée à une autorité administra- tive à qui s’appliquent les règles de la LPJA. Parmi celles-ci, l’article 10 alinéa 1 lettre e LPJA prévoit que les personnes appelées à rendre ou à préparer une décision doivent se récuser s’il existe des circonstan- ces de nature à faire suspecter leur impartialité. e) Dans la mesure où l’OCVS fonctionne de la même manière qu’une commission d’experts, les dispositions de l’article 10 alinéa 1 lettre e LPJA trouvent application (ATF 116 Ia 135). L’obligation de se récuser concerne, en effet, également les experts (Merkli/Aeschli- 95</w:t>
      </w:r>
    </w:p>
    <w:p>
      <w:r>
        <w:t>mann/Herzog, Kommentar zum Gesetz über die Verwaltungsrechts- pﬂege im Kanton Bern, note 7 ad art. 9; Kölz/Bosshardt/Röhl, Kom- mentar zum Verwaltungsrechtsplegegesetz des Kantons Zürich, 2e éd., p. 92, note 9 ad art. 5a). Cela étant, le Conseil d’Etat ne pouvait, comme il l’a fait, soutenir que l’obligation de récusation n’existait pas du moment que l’OCVS fonctionnait comme une sorte de commission d’experts. Ce point de vue prêtait d’autant plus le ﬂanc à la critique qu’il est avéré que certains experts ayant participé à la décision du conseil d’administration de l’OCVS sont des concurrents potentiels du recourant (ATF 119 V 466 consid. 5c), de sorte que celui-ci peut légiti- mement se prévaloir de circonstances de nature à faire suspecter l’im- partialité de ces experts. Les pièces du dossier montrent, du reste, que ce risque d’impartialité n’est pas une vue de l’esprit du recourant. En effet, dans son dossier accompagnant sa requête du 3 décembre 2002, X. est d’avis qu’il y a lieu de craindre une réaction virulente de la part des ambulances et d’une société U. Il relève aussi que d’im- portantes négociations sont à prévoir auprès de l’OCVS , actuellement penchée sur la planiﬁcation des ambulances en Valais pour les servi- ces d’urgences P1 et P2. Par ailleurs, il ressort du procès-verbal du 30 janvier 2003 du conseil d’administration de l’OVCS que son président a eu un entretien avec le directeur de la société U. La description qui suit de la mise en place du service d’ambulances sur le plan cantonal indique que la situation est actuellement satisfaisante. La question de savoir si l’intervention de Z., directeur de U., auprès du président du conseil d’administration de l’OCVS a été déterminante ou non sur ce constat peut légitimement être évoquée. Enﬁn, on ne saurait passer sous silence que W., chez qui le recourant a demandé une offre d’ac- quisition d’ambulance, et P., exploitant également un service d’ambu- lances, sont assurément des concurrents potentiels de X. Au vu de ce qui précède, force est d’admettre que le Conseil d’E- tat a jugé à tort que le grief de récusation que faisait valoir X. dans la procédure du recours administratif était infondé. Le recours doit donc être admis pour ce motif.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